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13" w:rsidRDefault="00847613" w:rsidP="000411B8">
      <w:pPr>
        <w:rPr>
          <w:sz w:val="20"/>
          <w:szCs w:val="20"/>
        </w:rPr>
      </w:pPr>
      <w:bookmarkStart w:id="0" w:name="_GoBack"/>
      <w:bookmarkEnd w:id="0"/>
    </w:p>
    <w:p w:rsidR="002E2BBC" w:rsidRDefault="002E2BBC" w:rsidP="002E2BBC">
      <w:pPr>
        <w:jc w:val="center"/>
        <w:rPr>
          <w:rStyle w:val="Sterk"/>
        </w:rPr>
      </w:pPr>
      <w:r>
        <w:rPr>
          <w:rStyle w:val="Sterk"/>
        </w:rPr>
        <w:t>Databehandleravtale</w:t>
      </w:r>
    </w:p>
    <w:p w:rsidR="002E2BBC" w:rsidRDefault="002E2BBC" w:rsidP="002E2BBC">
      <w:pPr>
        <w:jc w:val="center"/>
        <w:rPr>
          <w:rStyle w:val="Sterk"/>
        </w:rPr>
      </w:pPr>
    </w:p>
    <w:p w:rsidR="002E2BBC" w:rsidRDefault="002E2BBC" w:rsidP="002E2BBC">
      <w:pPr>
        <w:pStyle w:val="Default"/>
      </w:pPr>
    </w:p>
    <w:p w:rsidR="002E2BBC" w:rsidRDefault="002E2BBC" w:rsidP="002E2BBC">
      <w:pPr>
        <w:jc w:val="center"/>
      </w:pPr>
      <w:r>
        <w:t>I henhold til personopplysningsloven</w:t>
      </w:r>
      <w:r w:rsidR="00565E87">
        <w:t xml:space="preserve"> artikkel 28</w:t>
      </w:r>
    </w:p>
    <w:p w:rsidR="00B30680" w:rsidRDefault="00B30680" w:rsidP="002E2BBC">
      <w:pPr>
        <w:jc w:val="center"/>
      </w:pPr>
    </w:p>
    <w:p w:rsidR="00FE5B57" w:rsidRDefault="00FE5B57" w:rsidP="00FE5B57">
      <w:pPr>
        <w:jc w:val="center"/>
      </w:pPr>
      <w:r>
        <w:t>Mellom</w:t>
      </w:r>
    </w:p>
    <w:p w:rsidR="00FE5B57" w:rsidRDefault="00FE5B57" w:rsidP="00FE5B57">
      <w:pPr>
        <w:jc w:val="center"/>
      </w:pPr>
    </w:p>
    <w:p w:rsidR="00C72A39" w:rsidRDefault="00FE5B57" w:rsidP="00C72A39">
      <w:pPr>
        <w:jc w:val="center"/>
      </w:pPr>
      <w:r>
        <w:t>Dronning Mauds Minne Høgskole for barnehagelærerutdanning</w:t>
      </w:r>
    </w:p>
    <w:p w:rsidR="00FE5B57" w:rsidRDefault="00FE5B57" w:rsidP="00FE5B57">
      <w:pPr>
        <w:jc w:val="center"/>
        <w:rPr>
          <w:rStyle w:val="Sterk"/>
        </w:rPr>
      </w:pPr>
      <w:r>
        <w:rPr>
          <w:rStyle w:val="Sterk"/>
        </w:rPr>
        <w:t>Behandlingsansvarlig</w:t>
      </w:r>
    </w:p>
    <w:p w:rsidR="00C72A39" w:rsidRDefault="00C72A39" w:rsidP="00FE5B57">
      <w:pPr>
        <w:jc w:val="center"/>
        <w:rPr>
          <w:rStyle w:val="Sterk"/>
        </w:rPr>
      </w:pPr>
    </w:p>
    <w:p w:rsidR="00FE5B57" w:rsidRDefault="00FE5B57" w:rsidP="00FE5B57">
      <w:pPr>
        <w:jc w:val="center"/>
        <w:rPr>
          <w:rStyle w:val="Sterk"/>
          <w:b w:val="0"/>
        </w:rPr>
      </w:pPr>
      <w:r w:rsidRPr="00FE5B57">
        <w:rPr>
          <w:rStyle w:val="Sterk"/>
          <w:b w:val="0"/>
        </w:rPr>
        <w:t>Og</w:t>
      </w:r>
    </w:p>
    <w:p w:rsidR="00C72A39" w:rsidRDefault="00C72A39" w:rsidP="00FE5B57">
      <w:pPr>
        <w:jc w:val="center"/>
        <w:rPr>
          <w:b/>
        </w:rPr>
      </w:pPr>
    </w:p>
    <w:p w:rsidR="00C72A39" w:rsidRDefault="00FE5B57" w:rsidP="00FE5B57">
      <w:pPr>
        <w:jc w:val="center"/>
        <w:rPr>
          <w:b/>
        </w:rPr>
      </w:pPr>
      <w:r>
        <w:rPr>
          <w:b/>
        </w:rPr>
        <w:t>_________________________</w:t>
      </w:r>
      <w:r w:rsidR="00C72A39">
        <w:rPr>
          <w:b/>
        </w:rPr>
        <w:t>________________</w:t>
      </w:r>
      <w:r>
        <w:rPr>
          <w:b/>
        </w:rPr>
        <w:t>___________</w:t>
      </w:r>
    </w:p>
    <w:p w:rsidR="00C72A39" w:rsidRDefault="00C72A39" w:rsidP="00FE5B57">
      <w:pPr>
        <w:jc w:val="center"/>
        <w:rPr>
          <w:b/>
        </w:rPr>
      </w:pPr>
      <w:r>
        <w:rPr>
          <w:b/>
        </w:rPr>
        <w:t>Databehandler</w:t>
      </w:r>
    </w:p>
    <w:p w:rsidR="00C72A39" w:rsidRDefault="00C72A39" w:rsidP="00FE5B57">
      <w:pPr>
        <w:jc w:val="center"/>
        <w:rPr>
          <w:b/>
        </w:rPr>
      </w:pPr>
    </w:p>
    <w:p w:rsidR="00C72A39" w:rsidRDefault="00C72A39" w:rsidP="00FE5B57">
      <w:pPr>
        <w:jc w:val="center"/>
        <w:rPr>
          <w:b/>
        </w:rPr>
      </w:pPr>
      <w:r>
        <w:rPr>
          <w:b/>
        </w:rPr>
        <w:t>Denne avtalen er utferdiget i 2 eksemplarer, hvorav partene får hvert sitt.</w:t>
      </w:r>
    </w:p>
    <w:p w:rsidR="00C72A39" w:rsidRDefault="00C72A39" w:rsidP="00FE5B57">
      <w:pPr>
        <w:jc w:val="center"/>
        <w:rPr>
          <w:b/>
        </w:rPr>
      </w:pPr>
    </w:p>
    <w:p w:rsidR="00C72A39" w:rsidRDefault="00C72A39" w:rsidP="00FE5B57">
      <w:pPr>
        <w:jc w:val="center"/>
        <w:rPr>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72A39" w:rsidTr="00C804CE">
        <w:tc>
          <w:tcPr>
            <w:tcW w:w="3020" w:type="dxa"/>
            <w:tcBorders>
              <w:bottom w:val="single" w:sz="4" w:space="0" w:color="auto"/>
            </w:tcBorders>
          </w:tcPr>
          <w:p w:rsidR="00C72A39" w:rsidRDefault="00C72A39" w:rsidP="00FE5B57">
            <w:pPr>
              <w:jc w:val="center"/>
              <w:rPr>
                <w:b/>
              </w:rPr>
            </w:pPr>
          </w:p>
        </w:tc>
        <w:tc>
          <w:tcPr>
            <w:tcW w:w="3021" w:type="dxa"/>
          </w:tcPr>
          <w:p w:rsidR="00C72A39" w:rsidRDefault="00C72A39" w:rsidP="00FE5B57">
            <w:pPr>
              <w:jc w:val="center"/>
              <w:rPr>
                <w:b/>
              </w:rPr>
            </w:pPr>
          </w:p>
        </w:tc>
        <w:tc>
          <w:tcPr>
            <w:tcW w:w="3021" w:type="dxa"/>
            <w:tcBorders>
              <w:bottom w:val="single" w:sz="4" w:space="0" w:color="auto"/>
            </w:tcBorders>
          </w:tcPr>
          <w:p w:rsidR="00C72A39" w:rsidRDefault="00C72A39" w:rsidP="00FE5B57">
            <w:pPr>
              <w:jc w:val="center"/>
              <w:rPr>
                <w:b/>
              </w:rPr>
            </w:pPr>
          </w:p>
        </w:tc>
      </w:tr>
      <w:tr w:rsidR="00C72A39" w:rsidTr="00C804CE">
        <w:tc>
          <w:tcPr>
            <w:tcW w:w="3020" w:type="dxa"/>
            <w:tcBorders>
              <w:top w:val="single" w:sz="4" w:space="0" w:color="auto"/>
            </w:tcBorders>
          </w:tcPr>
          <w:p w:rsidR="00C72A39" w:rsidRDefault="00C72A39" w:rsidP="00FE5B57">
            <w:pPr>
              <w:jc w:val="center"/>
              <w:rPr>
                <w:b/>
              </w:rPr>
            </w:pPr>
            <w:r>
              <w:rPr>
                <w:b/>
              </w:rPr>
              <w:t>dato</w:t>
            </w:r>
          </w:p>
        </w:tc>
        <w:tc>
          <w:tcPr>
            <w:tcW w:w="3021" w:type="dxa"/>
          </w:tcPr>
          <w:p w:rsidR="00C72A39" w:rsidRDefault="00C72A39" w:rsidP="00FE5B57">
            <w:pPr>
              <w:jc w:val="center"/>
              <w:rPr>
                <w:b/>
              </w:rPr>
            </w:pPr>
          </w:p>
        </w:tc>
        <w:tc>
          <w:tcPr>
            <w:tcW w:w="3021" w:type="dxa"/>
            <w:tcBorders>
              <w:top w:val="single" w:sz="4" w:space="0" w:color="auto"/>
            </w:tcBorders>
          </w:tcPr>
          <w:p w:rsidR="00C72A39" w:rsidRDefault="00C804CE" w:rsidP="00FE5B57">
            <w:pPr>
              <w:jc w:val="center"/>
              <w:rPr>
                <w:b/>
              </w:rPr>
            </w:pPr>
            <w:r>
              <w:rPr>
                <w:b/>
              </w:rPr>
              <w:t>sted</w:t>
            </w:r>
          </w:p>
        </w:tc>
      </w:tr>
    </w:tbl>
    <w:p w:rsidR="00C804CE" w:rsidRDefault="00C804CE" w:rsidP="00FE5B57">
      <w:pPr>
        <w:jc w:val="center"/>
        <w:rPr>
          <w:b/>
        </w:rPr>
      </w:pPr>
    </w:p>
    <w:p w:rsidR="00C804CE" w:rsidRDefault="00C804CE" w:rsidP="00FE5B57">
      <w:pPr>
        <w:jc w:val="center"/>
        <w:rPr>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804CE" w:rsidTr="00C804CE">
        <w:tc>
          <w:tcPr>
            <w:tcW w:w="3020" w:type="dxa"/>
            <w:tcBorders>
              <w:bottom w:val="single" w:sz="4" w:space="0" w:color="auto"/>
            </w:tcBorders>
          </w:tcPr>
          <w:p w:rsidR="00C804CE" w:rsidRDefault="00C804CE" w:rsidP="00FE5B57">
            <w:pPr>
              <w:jc w:val="center"/>
              <w:rPr>
                <w:b/>
              </w:rPr>
            </w:pPr>
          </w:p>
        </w:tc>
        <w:tc>
          <w:tcPr>
            <w:tcW w:w="3021" w:type="dxa"/>
          </w:tcPr>
          <w:p w:rsidR="00C804CE" w:rsidRDefault="00C804CE" w:rsidP="00FE5B57">
            <w:pPr>
              <w:jc w:val="center"/>
              <w:rPr>
                <w:b/>
              </w:rPr>
            </w:pPr>
          </w:p>
        </w:tc>
        <w:tc>
          <w:tcPr>
            <w:tcW w:w="3021" w:type="dxa"/>
            <w:tcBorders>
              <w:bottom w:val="single" w:sz="4" w:space="0" w:color="auto"/>
            </w:tcBorders>
          </w:tcPr>
          <w:p w:rsidR="00C804CE" w:rsidRDefault="00C804CE" w:rsidP="00FE5B57">
            <w:pPr>
              <w:jc w:val="center"/>
              <w:rPr>
                <w:b/>
              </w:rPr>
            </w:pPr>
          </w:p>
        </w:tc>
      </w:tr>
      <w:tr w:rsidR="00C804CE" w:rsidTr="00C804CE">
        <w:tc>
          <w:tcPr>
            <w:tcW w:w="3020" w:type="dxa"/>
            <w:tcBorders>
              <w:top w:val="single" w:sz="4" w:space="0" w:color="auto"/>
            </w:tcBorders>
          </w:tcPr>
          <w:p w:rsidR="00C804CE" w:rsidRDefault="00E54749" w:rsidP="00FE5B57">
            <w:pPr>
              <w:jc w:val="center"/>
              <w:rPr>
                <w:b/>
              </w:rPr>
            </w:pPr>
            <w:r>
              <w:rPr>
                <w:b/>
              </w:rPr>
              <w:t>s</w:t>
            </w:r>
            <w:r w:rsidR="00C804CE">
              <w:rPr>
                <w:b/>
              </w:rPr>
              <w:t>ign</w:t>
            </w:r>
            <w:r>
              <w:rPr>
                <w:b/>
              </w:rPr>
              <w:t>atur</w:t>
            </w:r>
            <w:r w:rsidR="00C804CE">
              <w:rPr>
                <w:b/>
              </w:rPr>
              <w:t xml:space="preserve"> DMMH</w:t>
            </w:r>
          </w:p>
        </w:tc>
        <w:tc>
          <w:tcPr>
            <w:tcW w:w="3021" w:type="dxa"/>
          </w:tcPr>
          <w:p w:rsidR="00C804CE" w:rsidRDefault="00C804CE" w:rsidP="00FE5B57">
            <w:pPr>
              <w:jc w:val="center"/>
              <w:rPr>
                <w:b/>
              </w:rPr>
            </w:pPr>
          </w:p>
        </w:tc>
        <w:tc>
          <w:tcPr>
            <w:tcW w:w="3021" w:type="dxa"/>
            <w:tcBorders>
              <w:top w:val="single" w:sz="4" w:space="0" w:color="auto"/>
            </w:tcBorders>
          </w:tcPr>
          <w:p w:rsidR="00C804CE" w:rsidRDefault="00E54749" w:rsidP="00FE5B57">
            <w:pPr>
              <w:jc w:val="center"/>
              <w:rPr>
                <w:b/>
              </w:rPr>
            </w:pPr>
            <w:r>
              <w:rPr>
                <w:b/>
              </w:rPr>
              <w:t>s</w:t>
            </w:r>
            <w:r w:rsidR="00C804CE">
              <w:rPr>
                <w:b/>
              </w:rPr>
              <w:t>ign</w:t>
            </w:r>
            <w:r>
              <w:rPr>
                <w:b/>
              </w:rPr>
              <w:t>atur</w:t>
            </w:r>
            <w:r w:rsidR="00C804CE">
              <w:rPr>
                <w:b/>
              </w:rPr>
              <w:t xml:space="preserve"> tolk</w:t>
            </w:r>
          </w:p>
        </w:tc>
      </w:tr>
    </w:tbl>
    <w:p w:rsidR="00C804CE" w:rsidRDefault="00C804CE" w:rsidP="00FE5B57">
      <w:pPr>
        <w:jc w:val="center"/>
        <w:rPr>
          <w:b/>
        </w:rPr>
      </w:pPr>
    </w:p>
    <w:p w:rsidR="00B30680" w:rsidRPr="00FE5B57" w:rsidRDefault="00B30680" w:rsidP="00FE5B57">
      <w:pPr>
        <w:jc w:val="center"/>
        <w:rPr>
          <w:b/>
        </w:rPr>
      </w:pPr>
      <w:r w:rsidRPr="00FE5B57">
        <w:rPr>
          <w:b/>
        </w:rPr>
        <w:br w:type="page"/>
      </w:r>
    </w:p>
    <w:p w:rsidR="00B30680" w:rsidRDefault="00B30680" w:rsidP="00FE5B57">
      <w:pPr>
        <w:pStyle w:val="Overskrift1"/>
      </w:pPr>
      <w:r>
        <w:lastRenderedPageBreak/>
        <w:t xml:space="preserve">1. Avtalens parter </w:t>
      </w:r>
    </w:p>
    <w:p w:rsidR="00B30680" w:rsidRDefault="00B30680" w:rsidP="00B30680">
      <w:pPr>
        <w:pStyle w:val="Default"/>
        <w:rPr>
          <w:sz w:val="20"/>
          <w:szCs w:val="20"/>
        </w:rPr>
      </w:pPr>
      <w:r>
        <w:rPr>
          <w:sz w:val="20"/>
          <w:szCs w:val="20"/>
        </w:rPr>
        <w:t xml:space="preserve">Avtalen inngås mellom </w:t>
      </w:r>
      <w:r w:rsidR="00E54749">
        <w:rPr>
          <w:sz w:val="20"/>
          <w:szCs w:val="20"/>
        </w:rPr>
        <w:t>Dronning Mauds Minne høgskole for barnehagelærerutdanning (DMMH)</w:t>
      </w:r>
      <w:r>
        <w:rPr>
          <w:sz w:val="20"/>
          <w:szCs w:val="20"/>
        </w:rPr>
        <w:t xml:space="preserve"> som behandlingsansvarlig og </w:t>
      </w:r>
      <w:r w:rsidR="00E54749">
        <w:rPr>
          <w:sz w:val="20"/>
          <w:szCs w:val="20"/>
        </w:rPr>
        <w:t xml:space="preserve">navngitt </w:t>
      </w:r>
      <w:r>
        <w:rPr>
          <w:sz w:val="20"/>
          <w:szCs w:val="20"/>
        </w:rPr>
        <w:t>tolk (</w:t>
      </w:r>
      <w:proofErr w:type="gramStart"/>
      <w:r w:rsidR="00E54749">
        <w:rPr>
          <w:sz w:val="20"/>
          <w:szCs w:val="20"/>
        </w:rPr>
        <w:t>TOLK</w:t>
      </w:r>
      <w:r>
        <w:rPr>
          <w:sz w:val="20"/>
          <w:szCs w:val="20"/>
        </w:rPr>
        <w:t xml:space="preserve"> )</w:t>
      </w:r>
      <w:proofErr w:type="gramEnd"/>
      <w:r>
        <w:rPr>
          <w:sz w:val="20"/>
          <w:szCs w:val="20"/>
        </w:rPr>
        <w:t xml:space="preserve"> som databehandler ved tolkeoppdrag for </w:t>
      </w:r>
      <w:r w:rsidR="00E54749">
        <w:rPr>
          <w:sz w:val="20"/>
          <w:szCs w:val="20"/>
        </w:rPr>
        <w:t>ansatte eller studenter ved DMMH</w:t>
      </w:r>
      <w:r>
        <w:rPr>
          <w:sz w:val="20"/>
          <w:szCs w:val="20"/>
        </w:rPr>
        <w:t xml:space="preserve">. </w:t>
      </w:r>
    </w:p>
    <w:p w:rsidR="00B30680" w:rsidRDefault="00B30680" w:rsidP="00B30680">
      <w:pPr>
        <w:pStyle w:val="Default"/>
        <w:rPr>
          <w:sz w:val="20"/>
          <w:szCs w:val="20"/>
        </w:rPr>
      </w:pPr>
      <w:r>
        <w:rPr>
          <w:sz w:val="20"/>
          <w:szCs w:val="20"/>
        </w:rPr>
        <w:t xml:space="preserve">Behandlingsansvarlig er definert i personopplysningsloven </w:t>
      </w:r>
      <w:r w:rsidR="004E1460">
        <w:rPr>
          <w:sz w:val="20"/>
          <w:szCs w:val="20"/>
        </w:rPr>
        <w:t>artikkel 4, punkt 7</w:t>
      </w:r>
      <w:r>
        <w:rPr>
          <w:sz w:val="20"/>
          <w:szCs w:val="20"/>
        </w:rPr>
        <w:t xml:space="preserve"> som </w:t>
      </w:r>
      <w:r w:rsidR="004E1460" w:rsidRPr="004E1460">
        <w:rPr>
          <w:sz w:val="20"/>
          <w:szCs w:val="20"/>
        </w:rPr>
        <w:t>en fysisk eller juridisk person, en offentlig myndighet, en institusjon eller ethvert annet organ som alene eller sammen med andre bestemmer formålet med behandlingen av personopplysninger og hvilke midler som skal benyttes</w:t>
      </w:r>
      <w:r>
        <w:rPr>
          <w:sz w:val="20"/>
          <w:szCs w:val="20"/>
        </w:rPr>
        <w:t xml:space="preserve">. </w:t>
      </w:r>
    </w:p>
    <w:p w:rsidR="00B30680" w:rsidRDefault="00B30680" w:rsidP="00B30680">
      <w:pPr>
        <w:pStyle w:val="Default"/>
        <w:rPr>
          <w:sz w:val="20"/>
          <w:szCs w:val="20"/>
        </w:rPr>
      </w:pPr>
      <w:r>
        <w:rPr>
          <w:sz w:val="20"/>
          <w:szCs w:val="20"/>
        </w:rPr>
        <w:t>Databehandler er definert</w:t>
      </w:r>
      <w:r w:rsidR="004E1460">
        <w:rPr>
          <w:sz w:val="20"/>
          <w:szCs w:val="20"/>
        </w:rPr>
        <w:t xml:space="preserve"> i personopplysningsloven artikkel 4, punkt 8</w:t>
      </w:r>
      <w:r>
        <w:rPr>
          <w:sz w:val="20"/>
          <w:szCs w:val="20"/>
        </w:rPr>
        <w:t xml:space="preserve"> som </w:t>
      </w:r>
      <w:r w:rsidR="004E1460" w:rsidRPr="004E1460">
        <w:rPr>
          <w:sz w:val="20"/>
          <w:szCs w:val="20"/>
        </w:rPr>
        <w:t>en fysisk eller juridisk person, offentlig myndighet, institusjon eller ethvert annet organ som behandler personopplysninger på vegne av den behandlingsansvarlige</w:t>
      </w:r>
      <w:r>
        <w:rPr>
          <w:sz w:val="20"/>
          <w:szCs w:val="20"/>
        </w:rPr>
        <w:t xml:space="preserve">. </w:t>
      </w:r>
    </w:p>
    <w:p w:rsidR="00B30680" w:rsidRDefault="00B30680" w:rsidP="00FE5B57">
      <w:pPr>
        <w:pStyle w:val="Overskrift1"/>
      </w:pPr>
      <w:r>
        <w:t xml:space="preserve">2. Hensikten med avtalen </w:t>
      </w:r>
    </w:p>
    <w:p w:rsidR="00B30680" w:rsidRDefault="00B30680" w:rsidP="00B30680">
      <w:pPr>
        <w:pStyle w:val="Default"/>
        <w:rPr>
          <w:sz w:val="20"/>
          <w:szCs w:val="20"/>
        </w:rPr>
      </w:pPr>
      <w:r>
        <w:rPr>
          <w:sz w:val="20"/>
          <w:szCs w:val="20"/>
        </w:rPr>
        <w:t>Avtalens hensikt er å regulere rettigheter og plikter etter lov av 1</w:t>
      </w:r>
      <w:r w:rsidR="004E1460">
        <w:rPr>
          <w:sz w:val="20"/>
          <w:szCs w:val="20"/>
        </w:rPr>
        <w:t>5</w:t>
      </w:r>
      <w:r>
        <w:rPr>
          <w:sz w:val="20"/>
          <w:szCs w:val="20"/>
        </w:rPr>
        <w:t xml:space="preserve">. </w:t>
      </w:r>
      <w:r w:rsidR="004E1460">
        <w:rPr>
          <w:sz w:val="20"/>
          <w:szCs w:val="20"/>
        </w:rPr>
        <w:t>juni</w:t>
      </w:r>
      <w:r>
        <w:rPr>
          <w:sz w:val="20"/>
          <w:szCs w:val="20"/>
        </w:rPr>
        <w:t xml:space="preserve"> 20</w:t>
      </w:r>
      <w:r w:rsidR="004E1460">
        <w:rPr>
          <w:sz w:val="20"/>
          <w:szCs w:val="20"/>
        </w:rPr>
        <w:t>18</w:t>
      </w:r>
      <w:r>
        <w:rPr>
          <w:sz w:val="20"/>
          <w:szCs w:val="20"/>
        </w:rPr>
        <w:t xml:space="preserve"> nr. 3</w:t>
      </w:r>
      <w:r w:rsidR="004E1460">
        <w:rPr>
          <w:sz w:val="20"/>
          <w:szCs w:val="20"/>
        </w:rPr>
        <w:t>8</w:t>
      </w:r>
      <w:r>
        <w:rPr>
          <w:sz w:val="20"/>
          <w:szCs w:val="20"/>
        </w:rPr>
        <w:t xml:space="preserve"> om behandling av personopplysninger (personopplysningsloven. Avtalen skal sikre at personopplysninger ikke brukes urettmessig eller kommer uberettigede i hende, og at all behandling av personopplysninger hos </w:t>
      </w:r>
      <w:r w:rsidR="007D62A2">
        <w:rPr>
          <w:sz w:val="20"/>
          <w:szCs w:val="20"/>
        </w:rPr>
        <w:t>TOLK</w:t>
      </w:r>
      <w:r>
        <w:rPr>
          <w:sz w:val="20"/>
          <w:szCs w:val="20"/>
        </w:rPr>
        <w:t xml:space="preserve"> utføres etter krav til personvern, taushetsplikt og informasjonssikkerhet. </w:t>
      </w:r>
    </w:p>
    <w:p w:rsidR="00B30680" w:rsidRDefault="00B30680" w:rsidP="00B30680">
      <w:pPr>
        <w:pStyle w:val="Default"/>
        <w:rPr>
          <w:sz w:val="20"/>
          <w:szCs w:val="20"/>
        </w:rPr>
      </w:pPr>
      <w:r>
        <w:rPr>
          <w:sz w:val="20"/>
          <w:szCs w:val="20"/>
        </w:rPr>
        <w:t xml:space="preserve">Databehandleravtalen regulerer </w:t>
      </w:r>
      <w:proofErr w:type="spellStart"/>
      <w:r w:rsidR="007D62A2">
        <w:rPr>
          <w:sz w:val="20"/>
          <w:szCs w:val="20"/>
        </w:rPr>
        <w:t>TOLK</w:t>
      </w:r>
      <w:r>
        <w:rPr>
          <w:sz w:val="20"/>
          <w:szCs w:val="20"/>
        </w:rPr>
        <w:t>s</w:t>
      </w:r>
      <w:proofErr w:type="spellEnd"/>
      <w:r>
        <w:rPr>
          <w:sz w:val="20"/>
          <w:szCs w:val="20"/>
        </w:rPr>
        <w:t xml:space="preserve"> bruk av personopplysninger på vegne av </w:t>
      </w:r>
      <w:r w:rsidR="007D62A2">
        <w:rPr>
          <w:sz w:val="20"/>
          <w:szCs w:val="20"/>
        </w:rPr>
        <w:t>DMMH</w:t>
      </w:r>
      <w:r>
        <w:rPr>
          <w:sz w:val="20"/>
          <w:szCs w:val="20"/>
        </w:rPr>
        <w:t xml:space="preserve">, herunder innsamling, registrering, sammenstilling, lagring, utlevering eller kombinasjoner av disse. </w:t>
      </w:r>
    </w:p>
    <w:p w:rsidR="00B30680" w:rsidRDefault="00B30680" w:rsidP="00FE5B57">
      <w:pPr>
        <w:pStyle w:val="Overskrift1"/>
      </w:pPr>
      <w:r>
        <w:t xml:space="preserve">3. Formål og behandling av personopplysninger </w:t>
      </w:r>
    </w:p>
    <w:p w:rsidR="00B30680" w:rsidRDefault="007D62A2" w:rsidP="00B30680">
      <w:pPr>
        <w:pStyle w:val="Default"/>
        <w:rPr>
          <w:sz w:val="20"/>
          <w:szCs w:val="20"/>
        </w:rPr>
      </w:pPr>
      <w:r>
        <w:rPr>
          <w:sz w:val="20"/>
          <w:szCs w:val="20"/>
        </w:rPr>
        <w:t>TOLK</w:t>
      </w:r>
      <w:r w:rsidR="00B30680">
        <w:rPr>
          <w:sz w:val="20"/>
          <w:szCs w:val="20"/>
        </w:rPr>
        <w:t xml:space="preserve"> leverer tolketjen</w:t>
      </w:r>
      <w:r w:rsidR="004B14B3">
        <w:rPr>
          <w:sz w:val="20"/>
          <w:szCs w:val="20"/>
        </w:rPr>
        <w:t>este for døve, hørselshemmede,</w:t>
      </w:r>
      <w:r w:rsidR="00B30680">
        <w:rPr>
          <w:sz w:val="20"/>
          <w:szCs w:val="20"/>
        </w:rPr>
        <w:t xml:space="preserve"> døvblinde</w:t>
      </w:r>
      <w:r w:rsidR="004B14B3">
        <w:rPr>
          <w:sz w:val="20"/>
          <w:szCs w:val="20"/>
        </w:rPr>
        <w:t xml:space="preserve"> eller mennesker med annet morsmål enn norsk,</w:t>
      </w:r>
      <w:r w:rsidR="00B30680">
        <w:rPr>
          <w:sz w:val="20"/>
          <w:szCs w:val="20"/>
        </w:rPr>
        <w:t xml:space="preserve"> etter avtale med, og på vegne av</w:t>
      </w:r>
      <w:r>
        <w:rPr>
          <w:sz w:val="20"/>
          <w:szCs w:val="20"/>
        </w:rPr>
        <w:t>, DMMH</w:t>
      </w:r>
      <w:r w:rsidR="00B30680">
        <w:rPr>
          <w:sz w:val="20"/>
          <w:szCs w:val="20"/>
        </w:rPr>
        <w:t xml:space="preserve">. Tolkeoppdragets innhold fremgår av oppdragsavtalen fra </w:t>
      </w:r>
      <w:r>
        <w:rPr>
          <w:sz w:val="20"/>
          <w:szCs w:val="20"/>
        </w:rPr>
        <w:t>DMMH</w:t>
      </w:r>
      <w:r w:rsidR="00B30680">
        <w:rPr>
          <w:sz w:val="20"/>
          <w:szCs w:val="20"/>
        </w:rPr>
        <w:t xml:space="preserve">. Oppdragsavtalen skal kun inneholde personopplysninger som </w:t>
      </w:r>
      <w:r>
        <w:rPr>
          <w:sz w:val="20"/>
          <w:szCs w:val="20"/>
        </w:rPr>
        <w:t>DMMH</w:t>
      </w:r>
      <w:r w:rsidR="00B30680">
        <w:rPr>
          <w:sz w:val="20"/>
          <w:szCs w:val="20"/>
        </w:rPr>
        <w:t xml:space="preserve"> vurderer som nødvendige og relevante for tolkeoppdraget, samt nødvendig og relevant tilleggsinformasjon. Personopplysninger om tolkebruker er underlagt lovpålagt taushetsplikt og vil kunne være sensitive. </w:t>
      </w:r>
    </w:p>
    <w:p w:rsidR="00B30680" w:rsidRDefault="00B30680" w:rsidP="00B30680">
      <w:pPr>
        <w:pStyle w:val="Default"/>
        <w:rPr>
          <w:sz w:val="20"/>
          <w:szCs w:val="20"/>
        </w:rPr>
      </w:pPr>
      <w:r>
        <w:rPr>
          <w:sz w:val="20"/>
          <w:szCs w:val="20"/>
        </w:rPr>
        <w:t xml:space="preserve">Databehandleravtalen omfatter all behandling av personopplysninger som </w:t>
      </w:r>
      <w:r w:rsidR="005E1A70">
        <w:rPr>
          <w:sz w:val="20"/>
          <w:szCs w:val="20"/>
        </w:rPr>
        <w:t>TOLK</w:t>
      </w:r>
      <w:r>
        <w:rPr>
          <w:sz w:val="20"/>
          <w:szCs w:val="20"/>
        </w:rPr>
        <w:t xml:space="preserve"> får tilgang til gjennom oppdragsavtalen og ved gjennomføringen av oppdraget. Ved behov for ytterligere personopplysninger for å gjennomføre tolkeoppdraget, skal </w:t>
      </w:r>
      <w:r w:rsidR="005E1A70">
        <w:rPr>
          <w:sz w:val="20"/>
          <w:szCs w:val="20"/>
        </w:rPr>
        <w:t>TOLK</w:t>
      </w:r>
      <w:r>
        <w:rPr>
          <w:sz w:val="20"/>
          <w:szCs w:val="20"/>
        </w:rPr>
        <w:t xml:space="preserve"> melde fra til </w:t>
      </w:r>
      <w:r w:rsidR="005E1A70">
        <w:rPr>
          <w:sz w:val="20"/>
          <w:szCs w:val="20"/>
        </w:rPr>
        <w:t>DMMH</w:t>
      </w:r>
      <w:r>
        <w:rPr>
          <w:sz w:val="20"/>
          <w:szCs w:val="20"/>
        </w:rPr>
        <w:t xml:space="preserve">. </w:t>
      </w:r>
      <w:r w:rsidR="005E1A70">
        <w:rPr>
          <w:sz w:val="20"/>
          <w:szCs w:val="20"/>
        </w:rPr>
        <w:t>DMMH</w:t>
      </w:r>
      <w:r>
        <w:rPr>
          <w:sz w:val="20"/>
          <w:szCs w:val="20"/>
        </w:rPr>
        <w:t xml:space="preserve"> vurderer om ytterligere personopplysninger skal innhentes/utleveres. I en slik vurdering kan </w:t>
      </w:r>
      <w:r w:rsidR="005E1A70">
        <w:rPr>
          <w:sz w:val="20"/>
          <w:szCs w:val="20"/>
        </w:rPr>
        <w:t>DMMH</w:t>
      </w:r>
      <w:r>
        <w:rPr>
          <w:sz w:val="20"/>
          <w:szCs w:val="20"/>
        </w:rPr>
        <w:t xml:space="preserve"> konferere med tolkebruker ved behov. </w:t>
      </w:r>
    </w:p>
    <w:p w:rsidR="00B30680" w:rsidRDefault="005E1A70" w:rsidP="00B30680">
      <w:pPr>
        <w:pStyle w:val="Default"/>
        <w:rPr>
          <w:sz w:val="20"/>
          <w:szCs w:val="20"/>
        </w:rPr>
      </w:pPr>
      <w:r>
        <w:rPr>
          <w:sz w:val="20"/>
          <w:szCs w:val="20"/>
        </w:rPr>
        <w:t>TOLK</w:t>
      </w:r>
      <w:r w:rsidR="00B30680">
        <w:rPr>
          <w:sz w:val="20"/>
          <w:szCs w:val="20"/>
        </w:rPr>
        <w:t xml:space="preserve"> er ansvarlig for å lagre oppdragsavtalene på en sikker måte, slik at opplysningene ikke er</w:t>
      </w:r>
      <w:r>
        <w:rPr>
          <w:sz w:val="20"/>
          <w:szCs w:val="20"/>
        </w:rPr>
        <w:t xml:space="preserve"> tilgjengelige for uvedkommende</w:t>
      </w:r>
      <w:r w:rsidR="00B30680">
        <w:rPr>
          <w:sz w:val="20"/>
          <w:szCs w:val="20"/>
        </w:rPr>
        <w:t xml:space="preserve">. </w:t>
      </w:r>
    </w:p>
    <w:p w:rsidR="00B30680" w:rsidRDefault="00B30680" w:rsidP="00B30680">
      <w:pPr>
        <w:pStyle w:val="Default"/>
        <w:rPr>
          <w:sz w:val="20"/>
          <w:szCs w:val="20"/>
        </w:rPr>
      </w:pPr>
      <w:r>
        <w:rPr>
          <w:sz w:val="20"/>
          <w:szCs w:val="20"/>
        </w:rPr>
        <w:t xml:space="preserve">Personopplysninger som blir overlevert </w:t>
      </w:r>
      <w:r w:rsidR="005E1A70">
        <w:rPr>
          <w:sz w:val="20"/>
          <w:szCs w:val="20"/>
        </w:rPr>
        <w:t>TOLK</w:t>
      </w:r>
      <w:r>
        <w:rPr>
          <w:sz w:val="20"/>
          <w:szCs w:val="20"/>
        </w:rPr>
        <w:t xml:space="preserve"> av </w:t>
      </w:r>
      <w:r w:rsidR="005E1A70">
        <w:rPr>
          <w:sz w:val="20"/>
          <w:szCs w:val="20"/>
        </w:rPr>
        <w:t>DMMH</w:t>
      </w:r>
      <w:r>
        <w:rPr>
          <w:sz w:val="20"/>
          <w:szCs w:val="20"/>
        </w:rPr>
        <w:t xml:space="preserve"> kan ikke brukes til andre formål enn administrasjon og levering av tolketjeneste. Personopplysningene som behandles på vegne av </w:t>
      </w:r>
      <w:r w:rsidR="005E1A70">
        <w:rPr>
          <w:sz w:val="20"/>
          <w:szCs w:val="20"/>
        </w:rPr>
        <w:t>DMMH</w:t>
      </w:r>
      <w:r>
        <w:rPr>
          <w:sz w:val="20"/>
          <w:szCs w:val="20"/>
        </w:rPr>
        <w:t xml:space="preserve"> skal ikke utleveres til andre, med mindre det er uttrykkelig avtalt med </w:t>
      </w:r>
      <w:r w:rsidR="005E1A70">
        <w:rPr>
          <w:sz w:val="20"/>
          <w:szCs w:val="20"/>
        </w:rPr>
        <w:t>DMMH</w:t>
      </w:r>
      <w:r>
        <w:rPr>
          <w:sz w:val="20"/>
          <w:szCs w:val="20"/>
        </w:rPr>
        <w:t xml:space="preserve">. </w:t>
      </w:r>
    </w:p>
    <w:p w:rsidR="00B30680" w:rsidRDefault="00B30680" w:rsidP="00B30680">
      <w:pPr>
        <w:pStyle w:val="Default"/>
        <w:rPr>
          <w:sz w:val="20"/>
          <w:szCs w:val="20"/>
        </w:rPr>
      </w:pPr>
      <w:r>
        <w:rPr>
          <w:sz w:val="20"/>
          <w:szCs w:val="20"/>
        </w:rPr>
        <w:t xml:space="preserve">Taushetsbelagte og sensitive personopplysninger skal ikke sendes mellom </w:t>
      </w:r>
      <w:r w:rsidR="005E1A70">
        <w:rPr>
          <w:sz w:val="20"/>
          <w:szCs w:val="20"/>
        </w:rPr>
        <w:t>TOLK</w:t>
      </w:r>
      <w:r>
        <w:rPr>
          <w:sz w:val="20"/>
          <w:szCs w:val="20"/>
        </w:rPr>
        <w:t xml:space="preserve"> og </w:t>
      </w:r>
      <w:r w:rsidR="005E1A70">
        <w:rPr>
          <w:sz w:val="20"/>
          <w:szCs w:val="20"/>
        </w:rPr>
        <w:t>DMMH</w:t>
      </w:r>
      <w:r>
        <w:rPr>
          <w:sz w:val="20"/>
          <w:szCs w:val="20"/>
        </w:rPr>
        <w:t xml:space="preserve"> på usikrede og ukrypterte kommunikasjonskanaler, som usikret e-post eller SMS. </w:t>
      </w:r>
    </w:p>
    <w:p w:rsidR="00B30680" w:rsidRDefault="00B30680" w:rsidP="00B30680">
      <w:pPr>
        <w:pStyle w:val="Default"/>
        <w:rPr>
          <w:color w:val="auto"/>
        </w:rPr>
      </w:pPr>
      <w:r>
        <w:rPr>
          <w:sz w:val="20"/>
          <w:szCs w:val="20"/>
        </w:rPr>
        <w:t xml:space="preserve">Personopplysninger om tolkebruker og oppdraget som er behandlet på vegne av </w:t>
      </w:r>
      <w:r w:rsidR="00BC1041">
        <w:rPr>
          <w:sz w:val="20"/>
          <w:szCs w:val="20"/>
        </w:rPr>
        <w:t>DMMH</w:t>
      </w:r>
      <w:r>
        <w:rPr>
          <w:sz w:val="20"/>
          <w:szCs w:val="20"/>
        </w:rPr>
        <w:t xml:space="preserve"> skal slettes senest innen 12 uker etter at det enkelte tolkeoppdraget er fullført. </w:t>
      </w:r>
    </w:p>
    <w:p w:rsidR="00B30680" w:rsidRDefault="00B30680" w:rsidP="00B30680">
      <w:pPr>
        <w:pStyle w:val="Default"/>
        <w:pageBreakBefore/>
        <w:rPr>
          <w:color w:val="auto"/>
          <w:sz w:val="20"/>
          <w:szCs w:val="20"/>
        </w:rPr>
      </w:pPr>
      <w:r>
        <w:rPr>
          <w:color w:val="auto"/>
          <w:sz w:val="20"/>
          <w:szCs w:val="20"/>
        </w:rPr>
        <w:t xml:space="preserve">Tolkebruker har til enhver tid rett til innsyn i hvilke opplysninger om seg som behandles, jf. personopplysningsloven </w:t>
      </w:r>
      <w:r w:rsidR="0029772D">
        <w:rPr>
          <w:color w:val="auto"/>
          <w:sz w:val="20"/>
          <w:szCs w:val="20"/>
        </w:rPr>
        <w:t>artikkel 15</w:t>
      </w:r>
      <w:r>
        <w:rPr>
          <w:color w:val="auto"/>
          <w:sz w:val="20"/>
          <w:szCs w:val="20"/>
        </w:rPr>
        <w:t xml:space="preserve">. Det gjelder også behandlingen av personopplysninger hos </w:t>
      </w:r>
      <w:r w:rsidR="0029772D">
        <w:rPr>
          <w:color w:val="auto"/>
          <w:sz w:val="20"/>
          <w:szCs w:val="20"/>
        </w:rPr>
        <w:t>TOLK</w:t>
      </w:r>
      <w:r>
        <w:rPr>
          <w:color w:val="auto"/>
          <w:sz w:val="20"/>
          <w:szCs w:val="20"/>
        </w:rPr>
        <w:t xml:space="preserve">. Anmodning om innsyn fra tolkebruker skal rettes til </w:t>
      </w:r>
      <w:r w:rsidR="0029772D">
        <w:rPr>
          <w:color w:val="auto"/>
          <w:sz w:val="20"/>
          <w:szCs w:val="20"/>
        </w:rPr>
        <w:t>DMMH</w:t>
      </w:r>
      <w:r>
        <w:rPr>
          <w:color w:val="auto"/>
          <w:sz w:val="20"/>
          <w:szCs w:val="20"/>
        </w:rPr>
        <w:t xml:space="preserve"> som behandlingsansvarlig. Det samme gjelder retten til å kunne anmode personopplysninger som rettet, sperret eller slettet, jf. </w:t>
      </w:r>
      <w:r w:rsidR="00C714C8">
        <w:rPr>
          <w:color w:val="auto"/>
          <w:sz w:val="20"/>
          <w:szCs w:val="20"/>
        </w:rPr>
        <w:t>P</w:t>
      </w:r>
      <w:r>
        <w:rPr>
          <w:color w:val="auto"/>
          <w:sz w:val="20"/>
          <w:szCs w:val="20"/>
        </w:rPr>
        <w:t>ersonopplysningsloven</w:t>
      </w:r>
      <w:r w:rsidR="00C714C8">
        <w:rPr>
          <w:color w:val="auto"/>
          <w:sz w:val="20"/>
          <w:szCs w:val="20"/>
        </w:rPr>
        <w:t xml:space="preserve"> artikkel 16-18</w:t>
      </w:r>
      <w:r>
        <w:rPr>
          <w:color w:val="auto"/>
          <w:sz w:val="20"/>
          <w:szCs w:val="20"/>
        </w:rPr>
        <w:t xml:space="preserve">. </w:t>
      </w:r>
    </w:p>
    <w:p w:rsidR="00B30680" w:rsidRDefault="00B30680" w:rsidP="00FE3050">
      <w:pPr>
        <w:pStyle w:val="Overskrift1"/>
      </w:pPr>
      <w:r>
        <w:t xml:space="preserve">4. Databehandlers plikter </w:t>
      </w:r>
    </w:p>
    <w:p w:rsidR="00B30680" w:rsidRDefault="00C714C8" w:rsidP="00B30680">
      <w:pPr>
        <w:pStyle w:val="Default"/>
        <w:rPr>
          <w:color w:val="auto"/>
          <w:sz w:val="20"/>
          <w:szCs w:val="20"/>
        </w:rPr>
      </w:pPr>
      <w:r>
        <w:rPr>
          <w:color w:val="auto"/>
          <w:sz w:val="20"/>
          <w:szCs w:val="20"/>
        </w:rPr>
        <w:t>TOLK</w:t>
      </w:r>
      <w:r w:rsidR="00B30680">
        <w:rPr>
          <w:color w:val="auto"/>
          <w:sz w:val="20"/>
          <w:szCs w:val="20"/>
        </w:rPr>
        <w:t xml:space="preserve"> skal følge </w:t>
      </w:r>
      <w:r>
        <w:rPr>
          <w:color w:val="auto"/>
          <w:sz w:val="20"/>
          <w:szCs w:val="20"/>
        </w:rPr>
        <w:t>DMMH</w:t>
      </w:r>
      <w:r w:rsidR="00B30680">
        <w:rPr>
          <w:color w:val="auto"/>
          <w:sz w:val="20"/>
          <w:szCs w:val="20"/>
        </w:rPr>
        <w:t xml:space="preserve">s gjeldende rutiner og instrukser for behandling av personopplysninger. </w:t>
      </w:r>
    </w:p>
    <w:p w:rsidR="00B30680" w:rsidRDefault="008C71AC" w:rsidP="00B30680">
      <w:pPr>
        <w:pStyle w:val="Default"/>
        <w:rPr>
          <w:color w:val="auto"/>
          <w:sz w:val="20"/>
          <w:szCs w:val="20"/>
        </w:rPr>
      </w:pPr>
      <w:r>
        <w:rPr>
          <w:color w:val="auto"/>
          <w:sz w:val="20"/>
          <w:szCs w:val="20"/>
        </w:rPr>
        <w:t>DMMH</w:t>
      </w:r>
      <w:r w:rsidR="00B30680">
        <w:rPr>
          <w:color w:val="auto"/>
          <w:sz w:val="20"/>
          <w:szCs w:val="20"/>
        </w:rPr>
        <w:t xml:space="preserve"> har, med mindre annet er avtalt eller følger av lov, rett til tilgang til og innsyn i personopplysninger som behandles. </w:t>
      </w:r>
      <w:r>
        <w:rPr>
          <w:color w:val="auto"/>
          <w:sz w:val="20"/>
          <w:szCs w:val="20"/>
        </w:rPr>
        <w:t>TOLK</w:t>
      </w:r>
      <w:r w:rsidR="00B30680">
        <w:rPr>
          <w:color w:val="auto"/>
          <w:sz w:val="20"/>
          <w:szCs w:val="20"/>
        </w:rPr>
        <w:t xml:space="preserve"> plikter å gi nødvendig bistand til dette. </w:t>
      </w:r>
    </w:p>
    <w:p w:rsidR="00B30680" w:rsidRDefault="00B30680" w:rsidP="00FE3050">
      <w:pPr>
        <w:pStyle w:val="Overskrift1"/>
      </w:pPr>
      <w:r>
        <w:t xml:space="preserve">5. Krav til informasjonssikkerhet </w:t>
      </w:r>
    </w:p>
    <w:p w:rsidR="00B30680" w:rsidRDefault="00B30680" w:rsidP="00B30680">
      <w:pPr>
        <w:pStyle w:val="Default"/>
        <w:rPr>
          <w:color w:val="auto"/>
          <w:sz w:val="20"/>
          <w:szCs w:val="20"/>
        </w:rPr>
      </w:pPr>
      <w:r>
        <w:rPr>
          <w:color w:val="auto"/>
          <w:sz w:val="20"/>
          <w:szCs w:val="20"/>
        </w:rPr>
        <w:t xml:space="preserve">Personopplysninger som </w:t>
      </w:r>
      <w:r w:rsidR="008C71AC">
        <w:rPr>
          <w:color w:val="auto"/>
          <w:sz w:val="20"/>
          <w:szCs w:val="20"/>
        </w:rPr>
        <w:t>TOLK</w:t>
      </w:r>
      <w:r>
        <w:rPr>
          <w:color w:val="auto"/>
          <w:sz w:val="20"/>
          <w:szCs w:val="20"/>
        </w:rPr>
        <w:t xml:space="preserve"> behandler på vegne av </w:t>
      </w:r>
      <w:r w:rsidR="008C71AC">
        <w:rPr>
          <w:color w:val="auto"/>
          <w:sz w:val="20"/>
          <w:szCs w:val="20"/>
        </w:rPr>
        <w:t>DMMH</w:t>
      </w:r>
      <w:r>
        <w:rPr>
          <w:color w:val="auto"/>
          <w:sz w:val="20"/>
          <w:szCs w:val="20"/>
        </w:rPr>
        <w:t xml:space="preserve"> skal holdes forsvarlig adskilt fra annen informasjon i </w:t>
      </w:r>
      <w:proofErr w:type="spellStart"/>
      <w:r w:rsidR="008C71AC">
        <w:rPr>
          <w:color w:val="auto"/>
          <w:sz w:val="20"/>
          <w:szCs w:val="20"/>
        </w:rPr>
        <w:t>TOLK</w:t>
      </w:r>
      <w:r>
        <w:rPr>
          <w:color w:val="auto"/>
          <w:sz w:val="20"/>
          <w:szCs w:val="20"/>
        </w:rPr>
        <w:t>s</w:t>
      </w:r>
      <w:proofErr w:type="spellEnd"/>
      <w:r>
        <w:rPr>
          <w:color w:val="auto"/>
          <w:sz w:val="20"/>
          <w:szCs w:val="20"/>
        </w:rPr>
        <w:t xml:space="preserve"> informasjonssystemer. </w:t>
      </w:r>
      <w:r w:rsidR="008C71AC">
        <w:rPr>
          <w:color w:val="auto"/>
          <w:sz w:val="20"/>
          <w:szCs w:val="20"/>
        </w:rPr>
        <w:t>TOLK</w:t>
      </w:r>
      <w:r>
        <w:rPr>
          <w:color w:val="auto"/>
          <w:sz w:val="20"/>
          <w:szCs w:val="20"/>
        </w:rPr>
        <w:t xml:space="preserve"> skal ha tilfredsstillende sikring på de løsninger som benyttes, slik at uvedkommende ikke får tilgang til opplysningene. </w:t>
      </w:r>
      <w:proofErr w:type="spellStart"/>
      <w:r w:rsidR="008C71AC">
        <w:rPr>
          <w:color w:val="auto"/>
          <w:sz w:val="20"/>
          <w:szCs w:val="20"/>
        </w:rPr>
        <w:t>TOLK</w:t>
      </w:r>
      <w:r>
        <w:rPr>
          <w:color w:val="auto"/>
          <w:sz w:val="20"/>
          <w:szCs w:val="20"/>
        </w:rPr>
        <w:t>s</w:t>
      </w:r>
      <w:proofErr w:type="spellEnd"/>
      <w:r>
        <w:rPr>
          <w:color w:val="auto"/>
          <w:sz w:val="20"/>
          <w:szCs w:val="20"/>
        </w:rPr>
        <w:t xml:space="preserve"> informasjonssystemer (mobiltelefon, nettbrett, PC eller lignende) skal være beskyttet med personlig passord/kode for innlogging eller ha annen tilgangsstyring. </w:t>
      </w:r>
    </w:p>
    <w:p w:rsidR="00B30680" w:rsidRDefault="00B30680" w:rsidP="00B30680">
      <w:pPr>
        <w:pStyle w:val="Default"/>
        <w:rPr>
          <w:color w:val="auto"/>
          <w:sz w:val="20"/>
          <w:szCs w:val="20"/>
        </w:rPr>
      </w:pPr>
      <w:r>
        <w:rPr>
          <w:color w:val="auto"/>
          <w:sz w:val="20"/>
          <w:szCs w:val="20"/>
        </w:rPr>
        <w:t xml:space="preserve">Avviksmelding etter personopplysningsforskriften </w:t>
      </w:r>
      <w:r w:rsidR="0065647F">
        <w:rPr>
          <w:color w:val="auto"/>
          <w:sz w:val="20"/>
          <w:szCs w:val="20"/>
        </w:rPr>
        <w:t>artikkel 33,</w:t>
      </w:r>
      <w:r>
        <w:rPr>
          <w:color w:val="auto"/>
          <w:sz w:val="20"/>
          <w:szCs w:val="20"/>
        </w:rPr>
        <w:t xml:space="preserve"> skal skje ved at </w:t>
      </w:r>
      <w:r w:rsidR="0065647F">
        <w:rPr>
          <w:color w:val="auto"/>
          <w:sz w:val="20"/>
          <w:szCs w:val="20"/>
        </w:rPr>
        <w:t>TOLK</w:t>
      </w:r>
      <w:r>
        <w:rPr>
          <w:color w:val="auto"/>
          <w:sz w:val="20"/>
          <w:szCs w:val="20"/>
        </w:rPr>
        <w:t xml:space="preserve"> melder avviket til </w:t>
      </w:r>
      <w:r w:rsidR="0065647F">
        <w:rPr>
          <w:color w:val="auto"/>
          <w:sz w:val="20"/>
          <w:szCs w:val="20"/>
        </w:rPr>
        <w:t>DMMH</w:t>
      </w:r>
      <w:r>
        <w:rPr>
          <w:color w:val="auto"/>
          <w:sz w:val="20"/>
          <w:szCs w:val="20"/>
        </w:rPr>
        <w:t xml:space="preserve">. Det gjelder alle hendelser som bryter med, eller kan bryte med, personvernet eller hvor personopplysninger som behandles på vegne av </w:t>
      </w:r>
      <w:r w:rsidR="0065647F">
        <w:rPr>
          <w:color w:val="auto"/>
          <w:sz w:val="20"/>
          <w:szCs w:val="20"/>
        </w:rPr>
        <w:t>DMMH</w:t>
      </w:r>
      <w:r>
        <w:rPr>
          <w:color w:val="auto"/>
          <w:sz w:val="20"/>
          <w:szCs w:val="20"/>
        </w:rPr>
        <w:t xml:space="preserve"> på en eller annen måte er kommet uvedkommende i hende. </w:t>
      </w:r>
      <w:r w:rsidR="0065647F">
        <w:rPr>
          <w:color w:val="auto"/>
          <w:sz w:val="20"/>
          <w:szCs w:val="20"/>
        </w:rPr>
        <w:t>DMMH</w:t>
      </w:r>
      <w:r>
        <w:rPr>
          <w:color w:val="auto"/>
          <w:sz w:val="20"/>
          <w:szCs w:val="20"/>
        </w:rPr>
        <w:t xml:space="preserve"> har ansvaret for at avviksmelding sendes til Datatilsynet. </w:t>
      </w:r>
    </w:p>
    <w:p w:rsidR="00B30680" w:rsidRDefault="00B30680" w:rsidP="00FE3050">
      <w:pPr>
        <w:pStyle w:val="Overskrift1"/>
      </w:pPr>
      <w:r>
        <w:t xml:space="preserve">6. Taushetsplikt </w:t>
      </w:r>
    </w:p>
    <w:p w:rsidR="00B30680" w:rsidRDefault="0065647F" w:rsidP="00B30680">
      <w:pPr>
        <w:pStyle w:val="Default"/>
        <w:rPr>
          <w:color w:val="auto"/>
          <w:sz w:val="20"/>
          <w:szCs w:val="20"/>
        </w:rPr>
      </w:pPr>
      <w:r>
        <w:rPr>
          <w:color w:val="auto"/>
          <w:sz w:val="20"/>
          <w:szCs w:val="20"/>
        </w:rPr>
        <w:t>TOLK</w:t>
      </w:r>
      <w:r w:rsidR="00B30680">
        <w:rPr>
          <w:color w:val="auto"/>
          <w:sz w:val="20"/>
          <w:szCs w:val="20"/>
        </w:rPr>
        <w:t xml:space="preserve"> har taushetsplikt om dokumentasjon og personopplysninger som vedkommende får tilgang til i henhold til denne avtalen. </w:t>
      </w:r>
    </w:p>
    <w:p w:rsidR="00B30680" w:rsidRDefault="0065647F" w:rsidP="00C371B6">
      <w:pPr>
        <w:pStyle w:val="Default"/>
        <w:rPr>
          <w:color w:val="auto"/>
          <w:sz w:val="20"/>
          <w:szCs w:val="20"/>
        </w:rPr>
      </w:pPr>
      <w:r>
        <w:rPr>
          <w:color w:val="auto"/>
          <w:sz w:val="20"/>
          <w:szCs w:val="20"/>
        </w:rPr>
        <w:t>TOLK</w:t>
      </w:r>
      <w:r w:rsidR="00B30680">
        <w:rPr>
          <w:color w:val="auto"/>
          <w:sz w:val="20"/>
          <w:szCs w:val="20"/>
        </w:rPr>
        <w:t xml:space="preserve"> </w:t>
      </w:r>
      <w:r w:rsidR="00C371B6">
        <w:rPr>
          <w:color w:val="auto"/>
          <w:sz w:val="20"/>
          <w:szCs w:val="20"/>
        </w:rPr>
        <w:t>har taushetsplikt i tråd med forvaltningsloven § 13</w:t>
      </w:r>
      <w:r w:rsidR="00B30680">
        <w:rPr>
          <w:color w:val="auto"/>
          <w:sz w:val="20"/>
          <w:szCs w:val="20"/>
        </w:rPr>
        <w:t xml:space="preserve">. </w:t>
      </w:r>
    </w:p>
    <w:p w:rsidR="00B30680" w:rsidRDefault="00B30680" w:rsidP="00FE3050">
      <w:pPr>
        <w:pStyle w:val="Overskrift1"/>
      </w:pPr>
      <w:r>
        <w:t xml:space="preserve">7. Avtalens varighet og ikrafttredelse </w:t>
      </w:r>
    </w:p>
    <w:p w:rsidR="00B30680" w:rsidRDefault="00B30680" w:rsidP="00B30680">
      <w:pPr>
        <w:pStyle w:val="Default"/>
        <w:rPr>
          <w:color w:val="auto"/>
          <w:sz w:val="20"/>
          <w:szCs w:val="20"/>
        </w:rPr>
      </w:pPr>
      <w:r>
        <w:rPr>
          <w:color w:val="auto"/>
          <w:sz w:val="20"/>
          <w:szCs w:val="20"/>
        </w:rPr>
        <w:t xml:space="preserve">Avtalen trer i kraft fra den dato denne avtalen undertegnes, og gjelder så lenge </w:t>
      </w:r>
      <w:r w:rsidR="00C371B6">
        <w:rPr>
          <w:color w:val="auto"/>
          <w:sz w:val="20"/>
          <w:szCs w:val="20"/>
        </w:rPr>
        <w:t>TOLK</w:t>
      </w:r>
      <w:r>
        <w:rPr>
          <w:color w:val="auto"/>
          <w:sz w:val="20"/>
          <w:szCs w:val="20"/>
        </w:rPr>
        <w:t xml:space="preserve"> har oppdrag for </w:t>
      </w:r>
      <w:r w:rsidR="00935E1B">
        <w:rPr>
          <w:color w:val="auto"/>
          <w:sz w:val="20"/>
          <w:szCs w:val="20"/>
        </w:rPr>
        <w:t>DMMH</w:t>
      </w:r>
      <w:r>
        <w:rPr>
          <w:color w:val="auto"/>
          <w:sz w:val="20"/>
          <w:szCs w:val="20"/>
        </w:rPr>
        <w:t xml:space="preserve">. </w:t>
      </w:r>
    </w:p>
    <w:p w:rsidR="00B30680" w:rsidRDefault="00B30680" w:rsidP="00B30680">
      <w:pPr>
        <w:pStyle w:val="Default"/>
        <w:rPr>
          <w:color w:val="auto"/>
          <w:sz w:val="20"/>
          <w:szCs w:val="20"/>
        </w:rPr>
      </w:pPr>
      <w:r>
        <w:rPr>
          <w:color w:val="auto"/>
          <w:sz w:val="20"/>
          <w:szCs w:val="20"/>
        </w:rPr>
        <w:t xml:space="preserve">Ved brudd på denne avtalen og eller personopplysningsloven med tilhørende forskrift kan </w:t>
      </w:r>
      <w:r w:rsidR="00C371B6">
        <w:rPr>
          <w:color w:val="auto"/>
          <w:sz w:val="20"/>
          <w:szCs w:val="20"/>
        </w:rPr>
        <w:t>DMMH</w:t>
      </w:r>
      <w:r>
        <w:rPr>
          <w:color w:val="auto"/>
          <w:sz w:val="20"/>
          <w:szCs w:val="20"/>
        </w:rPr>
        <w:t xml:space="preserve"> pålegge </w:t>
      </w:r>
      <w:r w:rsidR="00C371B6">
        <w:rPr>
          <w:color w:val="auto"/>
          <w:sz w:val="20"/>
          <w:szCs w:val="20"/>
        </w:rPr>
        <w:t>TOLK</w:t>
      </w:r>
      <w:r>
        <w:rPr>
          <w:color w:val="auto"/>
          <w:sz w:val="20"/>
          <w:szCs w:val="20"/>
        </w:rPr>
        <w:t xml:space="preserve"> å stoppe den videre behandlingen av opplysningene med øyeblikkelig virkning. </w:t>
      </w:r>
    </w:p>
    <w:p w:rsidR="00B30680" w:rsidRDefault="00B30680" w:rsidP="00FE3050">
      <w:pPr>
        <w:pStyle w:val="Overskrift1"/>
      </w:pPr>
      <w:r>
        <w:t xml:space="preserve">8. Ved opphør </w:t>
      </w:r>
    </w:p>
    <w:p w:rsidR="00B30680" w:rsidRDefault="00B30680" w:rsidP="00B30680">
      <w:pPr>
        <w:pStyle w:val="Default"/>
        <w:rPr>
          <w:color w:val="auto"/>
          <w:sz w:val="20"/>
          <w:szCs w:val="20"/>
        </w:rPr>
      </w:pPr>
      <w:r>
        <w:rPr>
          <w:color w:val="auto"/>
          <w:sz w:val="20"/>
          <w:szCs w:val="20"/>
        </w:rPr>
        <w:t xml:space="preserve">Ved opphør av denne avtalen plikter </w:t>
      </w:r>
      <w:r w:rsidR="00C371B6">
        <w:rPr>
          <w:color w:val="auto"/>
          <w:sz w:val="20"/>
          <w:szCs w:val="20"/>
        </w:rPr>
        <w:t>TOLK</w:t>
      </w:r>
      <w:r>
        <w:rPr>
          <w:color w:val="auto"/>
          <w:sz w:val="20"/>
          <w:szCs w:val="20"/>
        </w:rPr>
        <w:t xml:space="preserve"> å tilbakelevere eller slette alle personopplysninger som er mottatt fra </w:t>
      </w:r>
      <w:r w:rsidR="00C371B6">
        <w:rPr>
          <w:color w:val="auto"/>
          <w:sz w:val="20"/>
          <w:szCs w:val="20"/>
        </w:rPr>
        <w:t>DMMH</w:t>
      </w:r>
      <w:r>
        <w:rPr>
          <w:color w:val="auto"/>
          <w:sz w:val="20"/>
          <w:szCs w:val="20"/>
        </w:rPr>
        <w:t xml:space="preserve"> og som omfattes av denne avtalen. Dette gjelder også for eventuelle sikkerhetskopier. </w:t>
      </w:r>
    </w:p>
    <w:p w:rsidR="00B30680" w:rsidRPr="002E2BBC" w:rsidRDefault="00C371B6" w:rsidP="00FE3050">
      <w:pPr>
        <w:pStyle w:val="Default"/>
        <w:rPr>
          <w:rStyle w:val="Sterk"/>
        </w:rPr>
      </w:pPr>
      <w:r>
        <w:rPr>
          <w:color w:val="auto"/>
          <w:sz w:val="20"/>
          <w:szCs w:val="20"/>
        </w:rPr>
        <w:t>TOLK</w:t>
      </w:r>
      <w:r w:rsidR="00B30680">
        <w:rPr>
          <w:color w:val="auto"/>
          <w:sz w:val="20"/>
          <w:szCs w:val="20"/>
        </w:rPr>
        <w:t xml:space="preserve"> skal skriftlig dokumentere at sletting er foretatt i henhold til avtalen innen fire uker etter avtalens opphør. </w:t>
      </w:r>
    </w:p>
    <w:sectPr w:rsidR="00B30680" w:rsidRPr="002E2BBC" w:rsidSect="00B30680">
      <w:headerReference w:type="default" r:id="rId7"/>
      <w:headerReference w:type="first" r:id="rId8"/>
      <w:footerReference w:type="first" r:id="rId9"/>
      <w:pgSz w:w="11906" w:h="16838"/>
      <w:pgMar w:top="233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BC" w:rsidRDefault="002E2BBC">
      <w:r>
        <w:separator/>
      </w:r>
    </w:p>
  </w:endnote>
  <w:endnote w:type="continuationSeparator" w:id="0">
    <w:p w:rsidR="002E2BBC" w:rsidRDefault="002E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B4" w:rsidRDefault="00B30680" w:rsidP="00B30680">
    <w:pPr>
      <w:pStyle w:val="Bunntekst"/>
      <w:ind w:left="-1417"/>
    </w:pPr>
    <w:r>
      <w:rPr>
        <w:noProof/>
      </w:rPr>
      <w:drawing>
        <wp:anchor distT="0" distB="0" distL="114300" distR="114300" simplePos="0" relativeHeight="251659264" behindDoc="1" locked="0" layoutInCell="1" allowOverlap="1" wp14:anchorId="283BB160" wp14:editId="15106D52">
          <wp:simplePos x="0" y="0"/>
          <wp:positionH relativeFrom="column">
            <wp:posOffset>-711835</wp:posOffset>
          </wp:positionH>
          <wp:positionV relativeFrom="paragraph">
            <wp:posOffset>-31750</wp:posOffset>
          </wp:positionV>
          <wp:extent cx="7172325" cy="643890"/>
          <wp:effectExtent l="0" t="0" r="9525" b="3810"/>
          <wp:wrapTight wrapText="bothSides">
            <wp:wrapPolygon edited="0">
              <wp:start x="0" y="0"/>
              <wp:lineTo x="0" y="21089"/>
              <wp:lineTo x="21571" y="21089"/>
              <wp:lineTo x="21571" y="0"/>
              <wp:lineTo x="0" y="0"/>
            </wp:wrapPolygon>
          </wp:wrapTight>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mh_bunn_norsk_2014 (bga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25" cy="643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BC" w:rsidRDefault="002E2BBC">
      <w:r>
        <w:separator/>
      </w:r>
    </w:p>
  </w:footnote>
  <w:footnote w:type="continuationSeparator" w:id="0">
    <w:p w:rsidR="002E2BBC" w:rsidRDefault="002E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B8" w:rsidRDefault="000411B8" w:rsidP="00FC32B1">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B4" w:rsidRDefault="00B30680" w:rsidP="00B30680">
    <w:pPr>
      <w:pStyle w:val="Topptekst"/>
      <w:jc w:val="center"/>
    </w:pPr>
    <w:r>
      <w:rPr>
        <w:noProof/>
      </w:rPr>
      <w:drawing>
        <wp:inline distT="0" distB="0" distL="0" distR="0" wp14:anchorId="091EE76E" wp14:editId="01A11CB0">
          <wp:extent cx="618499" cy="82800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MH_Emblem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499" cy="82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C"/>
    <w:rsid w:val="000411B8"/>
    <w:rsid w:val="000A308F"/>
    <w:rsid w:val="00122442"/>
    <w:rsid w:val="001313BA"/>
    <w:rsid w:val="001E28E8"/>
    <w:rsid w:val="00256810"/>
    <w:rsid w:val="0029772D"/>
    <w:rsid w:val="002E2BBC"/>
    <w:rsid w:val="003522E1"/>
    <w:rsid w:val="0038467C"/>
    <w:rsid w:val="004A1A01"/>
    <w:rsid w:val="004B14B3"/>
    <w:rsid w:val="004E1460"/>
    <w:rsid w:val="00565E87"/>
    <w:rsid w:val="005E1A70"/>
    <w:rsid w:val="0065647F"/>
    <w:rsid w:val="006E6FB4"/>
    <w:rsid w:val="00735887"/>
    <w:rsid w:val="007A327E"/>
    <w:rsid w:val="007D62A2"/>
    <w:rsid w:val="00847613"/>
    <w:rsid w:val="00885D0A"/>
    <w:rsid w:val="008C71AC"/>
    <w:rsid w:val="00935E1B"/>
    <w:rsid w:val="009545D9"/>
    <w:rsid w:val="00AD7A2E"/>
    <w:rsid w:val="00B30680"/>
    <w:rsid w:val="00B3544B"/>
    <w:rsid w:val="00BC1041"/>
    <w:rsid w:val="00BE7BD7"/>
    <w:rsid w:val="00C371B6"/>
    <w:rsid w:val="00C714C8"/>
    <w:rsid w:val="00C72A39"/>
    <w:rsid w:val="00C804CE"/>
    <w:rsid w:val="00CE423E"/>
    <w:rsid w:val="00E54749"/>
    <w:rsid w:val="00FC32B1"/>
    <w:rsid w:val="00FE3050"/>
    <w:rsid w:val="00FE5B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40A3C5B-02AC-4817-8D1F-340D501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57"/>
  </w:style>
  <w:style w:type="paragraph" w:styleId="Overskrift1">
    <w:name w:val="heading 1"/>
    <w:basedOn w:val="Normal"/>
    <w:next w:val="Normal"/>
    <w:link w:val="Overskrift1Tegn"/>
    <w:uiPriority w:val="9"/>
    <w:qFormat/>
    <w:rsid w:val="00FE5B5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semiHidden/>
    <w:unhideWhenUsed/>
    <w:qFormat/>
    <w:rsid w:val="00FE5B5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FE5B5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FE5B5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FE5B5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FE5B5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FE5B5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FE5B5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FE5B5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411B8"/>
    <w:pPr>
      <w:tabs>
        <w:tab w:val="center" w:pos="4536"/>
        <w:tab w:val="right" w:pos="9072"/>
      </w:tabs>
    </w:pPr>
  </w:style>
  <w:style w:type="paragraph" w:styleId="Bunntekst">
    <w:name w:val="footer"/>
    <w:basedOn w:val="Normal"/>
    <w:rsid w:val="000411B8"/>
    <w:pPr>
      <w:tabs>
        <w:tab w:val="center" w:pos="4536"/>
        <w:tab w:val="right" w:pos="9072"/>
      </w:tabs>
    </w:pPr>
  </w:style>
  <w:style w:type="paragraph" w:styleId="Bobletekst">
    <w:name w:val="Balloon Text"/>
    <w:basedOn w:val="Normal"/>
    <w:link w:val="BobletekstTegn"/>
    <w:rsid w:val="007A327E"/>
    <w:rPr>
      <w:rFonts w:ascii="Tahoma" w:hAnsi="Tahoma" w:cs="Tahoma"/>
      <w:sz w:val="16"/>
      <w:szCs w:val="16"/>
    </w:rPr>
  </w:style>
  <w:style w:type="character" w:customStyle="1" w:styleId="BobletekstTegn">
    <w:name w:val="Bobletekst Tegn"/>
    <w:link w:val="Bobletekst"/>
    <w:rsid w:val="007A327E"/>
    <w:rPr>
      <w:rFonts w:ascii="Tahoma" w:hAnsi="Tahoma" w:cs="Tahoma"/>
      <w:sz w:val="16"/>
      <w:szCs w:val="16"/>
    </w:rPr>
  </w:style>
  <w:style w:type="character" w:styleId="Sterk">
    <w:name w:val="Strong"/>
    <w:basedOn w:val="Standardskriftforavsnitt"/>
    <w:uiPriority w:val="22"/>
    <w:qFormat/>
    <w:rsid w:val="00FE5B57"/>
    <w:rPr>
      <w:b/>
      <w:bCs/>
    </w:rPr>
  </w:style>
  <w:style w:type="paragraph" w:customStyle="1" w:styleId="Default">
    <w:name w:val="Default"/>
    <w:rsid w:val="002E2BBC"/>
    <w:pPr>
      <w:autoSpaceDE w:val="0"/>
      <w:autoSpaceDN w:val="0"/>
      <w:adjustRightInd w:val="0"/>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FE5B57"/>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foravsnitt"/>
    <w:link w:val="Overskrift2"/>
    <w:uiPriority w:val="9"/>
    <w:semiHidden/>
    <w:rsid w:val="00FE5B5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semiHidden/>
    <w:rsid w:val="00FE5B5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FE5B5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FE5B5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FE5B5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FE5B5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FE5B5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FE5B5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FE5B57"/>
    <w:pPr>
      <w:spacing w:line="240" w:lineRule="auto"/>
    </w:pPr>
    <w:rPr>
      <w:b/>
      <w:bCs/>
      <w:smallCaps/>
      <w:color w:val="44546A" w:themeColor="text2"/>
    </w:rPr>
  </w:style>
  <w:style w:type="paragraph" w:styleId="Tittel">
    <w:name w:val="Title"/>
    <w:basedOn w:val="Normal"/>
    <w:next w:val="Normal"/>
    <w:link w:val="TittelTegn"/>
    <w:uiPriority w:val="10"/>
    <w:qFormat/>
    <w:rsid w:val="00FE5B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FE5B5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FE5B5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FE5B5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FE5B57"/>
    <w:rPr>
      <w:i/>
      <w:iCs/>
    </w:rPr>
  </w:style>
  <w:style w:type="paragraph" w:styleId="Ingenmellomrom">
    <w:name w:val="No Spacing"/>
    <w:uiPriority w:val="1"/>
    <w:qFormat/>
    <w:rsid w:val="00FE5B57"/>
    <w:pPr>
      <w:spacing w:after="0" w:line="240" w:lineRule="auto"/>
    </w:pPr>
  </w:style>
  <w:style w:type="paragraph" w:styleId="Sitat">
    <w:name w:val="Quote"/>
    <w:basedOn w:val="Normal"/>
    <w:next w:val="Normal"/>
    <w:link w:val="SitatTegn"/>
    <w:uiPriority w:val="29"/>
    <w:qFormat/>
    <w:rsid w:val="00FE5B5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FE5B57"/>
    <w:rPr>
      <w:color w:val="44546A" w:themeColor="text2"/>
      <w:sz w:val="24"/>
      <w:szCs w:val="24"/>
    </w:rPr>
  </w:style>
  <w:style w:type="paragraph" w:styleId="Sterktsitat">
    <w:name w:val="Intense Quote"/>
    <w:basedOn w:val="Normal"/>
    <w:next w:val="Normal"/>
    <w:link w:val="SterktsitatTegn"/>
    <w:uiPriority w:val="30"/>
    <w:qFormat/>
    <w:rsid w:val="00FE5B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FE5B5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FE5B57"/>
    <w:rPr>
      <w:i/>
      <w:iCs/>
      <w:color w:val="595959" w:themeColor="text1" w:themeTint="A6"/>
    </w:rPr>
  </w:style>
  <w:style w:type="character" w:styleId="Sterkutheving">
    <w:name w:val="Intense Emphasis"/>
    <w:basedOn w:val="Standardskriftforavsnitt"/>
    <w:uiPriority w:val="21"/>
    <w:qFormat/>
    <w:rsid w:val="00FE5B57"/>
    <w:rPr>
      <w:b/>
      <w:bCs/>
      <w:i/>
      <w:iCs/>
    </w:rPr>
  </w:style>
  <w:style w:type="character" w:styleId="Svakreferanse">
    <w:name w:val="Subtle Reference"/>
    <w:basedOn w:val="Standardskriftforavsnitt"/>
    <w:uiPriority w:val="31"/>
    <w:qFormat/>
    <w:rsid w:val="00FE5B5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FE5B57"/>
    <w:rPr>
      <w:b/>
      <w:bCs/>
      <w:smallCaps/>
      <w:color w:val="44546A" w:themeColor="text2"/>
      <w:u w:val="single"/>
    </w:rPr>
  </w:style>
  <w:style w:type="character" w:styleId="Boktittel">
    <w:name w:val="Book Title"/>
    <w:basedOn w:val="Standardskriftforavsnitt"/>
    <w:uiPriority w:val="33"/>
    <w:qFormat/>
    <w:rsid w:val="00FE5B57"/>
    <w:rPr>
      <w:b/>
      <w:bCs/>
      <w:smallCaps/>
      <w:spacing w:val="10"/>
    </w:rPr>
  </w:style>
  <w:style w:type="paragraph" w:styleId="Overskriftforinnholdsfortegnelse">
    <w:name w:val="TOC Heading"/>
    <w:basedOn w:val="Overskrift1"/>
    <w:next w:val="Normal"/>
    <w:uiPriority w:val="39"/>
    <w:semiHidden/>
    <w:unhideWhenUsed/>
    <w:qFormat/>
    <w:rsid w:val="00FE5B57"/>
    <w:pPr>
      <w:outlineLvl w:val="9"/>
    </w:pPr>
  </w:style>
  <w:style w:type="table" w:styleId="Tabellrutenett">
    <w:name w:val="Table Grid"/>
    <w:basedOn w:val="Vanligtabell"/>
    <w:rsid w:val="00C7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mh\fil\Netdata\felles\Maler\Office\2016\DMMH-Maler\_DMMH_n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B17E-0896-44E8-ACB9-295798D5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_DMMH_nor.dotx</Template>
  <TotalTime>0</TotalTime>
  <Pages>3</Pages>
  <Words>774</Words>
  <Characters>5025</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DMMH</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Ristad</dc:creator>
  <cp:lastModifiedBy>Svein Sando</cp:lastModifiedBy>
  <cp:revision>2</cp:revision>
  <cp:lastPrinted>2007-01-08T06:15:00Z</cp:lastPrinted>
  <dcterms:created xsi:type="dcterms:W3CDTF">2020-03-11T12:50:00Z</dcterms:created>
  <dcterms:modified xsi:type="dcterms:W3CDTF">2020-03-11T12:50:00Z</dcterms:modified>
</cp:coreProperties>
</file>